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1969"/>
        <w:gridCol w:w="6030"/>
        <w:gridCol w:w="4050"/>
        <w:gridCol w:w="2171"/>
      </w:tblGrid>
      <w:tr w:rsidR="0028158C" w:rsidRPr="007B176D" w:rsidTr="007B176D">
        <w:trPr>
          <w:trHeight w:val="422"/>
          <w:tblHeader/>
          <w:jc w:val="center"/>
        </w:trPr>
        <w:tc>
          <w:tcPr>
            <w:tcW w:w="645" w:type="dxa"/>
            <w:shd w:val="clear" w:color="auto" w:fill="auto"/>
            <w:hideMark/>
          </w:tcPr>
          <w:p w:rsidR="0028158C" w:rsidRPr="007B176D" w:rsidRDefault="00C1055B" w:rsidP="00026478">
            <w:pPr>
              <w:spacing w:after="0" w:line="240" w:lineRule="auto"/>
              <w:jc w:val="center"/>
              <w:rPr>
                <w:rFonts w:ascii="Book Antiqua" w:eastAsia="Times New Roman" w:hAnsi="Book Antiqua" w:cs="Calibri"/>
                <w:b/>
                <w:bCs/>
                <w:color w:val="000000"/>
                <w:sz w:val="24"/>
                <w:szCs w:val="24"/>
              </w:rPr>
            </w:pPr>
            <w:r w:rsidRPr="007B176D">
              <w:rPr>
                <w:rFonts w:ascii="Book Antiqua" w:eastAsia="Times New Roman" w:hAnsi="Book Antiqua" w:cs="Calibri"/>
                <w:b/>
                <w:bCs/>
                <w:color w:val="000000"/>
                <w:sz w:val="24"/>
                <w:szCs w:val="24"/>
              </w:rPr>
              <w:t>S N</w:t>
            </w:r>
          </w:p>
        </w:tc>
        <w:tc>
          <w:tcPr>
            <w:tcW w:w="1969" w:type="dxa"/>
            <w:shd w:val="clear" w:color="auto" w:fill="auto"/>
            <w:hideMark/>
          </w:tcPr>
          <w:p w:rsidR="0028158C" w:rsidRPr="007B176D" w:rsidRDefault="0028158C" w:rsidP="00E13D86">
            <w:pPr>
              <w:spacing w:after="0" w:line="240" w:lineRule="auto"/>
              <w:jc w:val="center"/>
              <w:rPr>
                <w:rFonts w:ascii="Book Antiqua" w:eastAsia="Times New Roman" w:hAnsi="Book Antiqua" w:cs="Calibri"/>
                <w:b/>
                <w:bCs/>
                <w:color w:val="000000"/>
                <w:sz w:val="24"/>
                <w:szCs w:val="24"/>
              </w:rPr>
            </w:pPr>
            <w:r w:rsidRPr="007B176D">
              <w:rPr>
                <w:rFonts w:ascii="Book Antiqua" w:eastAsia="Times New Roman" w:hAnsi="Book Antiqua" w:cs="Calibri"/>
                <w:b/>
                <w:bCs/>
                <w:color w:val="000000"/>
                <w:sz w:val="24"/>
                <w:szCs w:val="24"/>
              </w:rPr>
              <w:t>Clause</w:t>
            </w:r>
          </w:p>
        </w:tc>
        <w:tc>
          <w:tcPr>
            <w:tcW w:w="6030" w:type="dxa"/>
            <w:shd w:val="clear" w:color="auto" w:fill="auto"/>
            <w:hideMark/>
          </w:tcPr>
          <w:p w:rsidR="0028158C" w:rsidRPr="007B176D" w:rsidRDefault="0028158C" w:rsidP="00E13D86">
            <w:pPr>
              <w:spacing w:after="0" w:line="240" w:lineRule="auto"/>
              <w:jc w:val="center"/>
              <w:rPr>
                <w:rFonts w:ascii="Book Antiqua" w:eastAsia="Times New Roman" w:hAnsi="Book Antiqua" w:cs="Calibri"/>
                <w:b/>
                <w:bCs/>
                <w:color w:val="000000"/>
                <w:sz w:val="24"/>
                <w:szCs w:val="24"/>
              </w:rPr>
            </w:pPr>
            <w:r w:rsidRPr="007B176D">
              <w:rPr>
                <w:rFonts w:ascii="Book Antiqua" w:eastAsia="Times New Roman" w:hAnsi="Book Antiqua" w:cs="Calibri"/>
                <w:b/>
                <w:bCs/>
                <w:color w:val="000000"/>
                <w:sz w:val="24"/>
                <w:szCs w:val="24"/>
              </w:rPr>
              <w:t>Provision of Bidding Documents</w:t>
            </w:r>
          </w:p>
        </w:tc>
        <w:tc>
          <w:tcPr>
            <w:tcW w:w="4050" w:type="dxa"/>
            <w:shd w:val="clear" w:color="auto" w:fill="auto"/>
            <w:hideMark/>
          </w:tcPr>
          <w:p w:rsidR="0028158C" w:rsidRPr="007B176D" w:rsidRDefault="0028158C" w:rsidP="00E13D86">
            <w:pPr>
              <w:spacing w:after="0" w:line="240" w:lineRule="auto"/>
              <w:jc w:val="center"/>
              <w:rPr>
                <w:rFonts w:ascii="Book Antiqua" w:eastAsia="Times New Roman" w:hAnsi="Book Antiqua" w:cs="Calibri"/>
                <w:b/>
                <w:bCs/>
                <w:color w:val="000000"/>
                <w:sz w:val="24"/>
                <w:szCs w:val="24"/>
              </w:rPr>
            </w:pPr>
            <w:r w:rsidRPr="007B176D">
              <w:rPr>
                <w:rFonts w:ascii="Book Antiqua" w:eastAsia="Times New Roman" w:hAnsi="Book Antiqua" w:cs="Calibri"/>
                <w:b/>
                <w:bCs/>
                <w:color w:val="000000"/>
                <w:sz w:val="24"/>
                <w:szCs w:val="24"/>
              </w:rPr>
              <w:t>Bidder’s Query</w:t>
            </w:r>
          </w:p>
        </w:tc>
        <w:tc>
          <w:tcPr>
            <w:tcW w:w="2171" w:type="dxa"/>
            <w:shd w:val="clear" w:color="auto" w:fill="auto"/>
            <w:noWrap/>
            <w:hideMark/>
          </w:tcPr>
          <w:p w:rsidR="0028158C" w:rsidRPr="007B176D" w:rsidRDefault="0028158C" w:rsidP="00E13D86">
            <w:pPr>
              <w:spacing w:after="0" w:line="240" w:lineRule="auto"/>
              <w:jc w:val="center"/>
              <w:rPr>
                <w:rFonts w:ascii="Book Antiqua" w:eastAsia="Times New Roman" w:hAnsi="Book Antiqua" w:cs="Calibri"/>
                <w:b/>
                <w:bCs/>
                <w:color w:val="000000"/>
                <w:sz w:val="24"/>
                <w:szCs w:val="24"/>
              </w:rPr>
            </w:pPr>
            <w:r w:rsidRPr="007B176D">
              <w:rPr>
                <w:rFonts w:ascii="Book Antiqua" w:eastAsia="Times New Roman" w:hAnsi="Book Antiqua" w:cs="Calibri"/>
                <w:b/>
                <w:bCs/>
                <w:color w:val="000000"/>
                <w:sz w:val="24"/>
                <w:szCs w:val="24"/>
              </w:rPr>
              <w:t>POWERGRID's Reply</w:t>
            </w:r>
          </w:p>
        </w:tc>
      </w:tr>
      <w:tr w:rsidR="00EE2370" w:rsidRPr="007B176D" w:rsidTr="007B176D">
        <w:trPr>
          <w:trHeight w:val="530"/>
          <w:jc w:val="center"/>
        </w:trPr>
        <w:tc>
          <w:tcPr>
            <w:tcW w:w="645" w:type="dxa"/>
            <w:shd w:val="clear" w:color="auto" w:fill="auto"/>
            <w:noWrap/>
          </w:tcPr>
          <w:p w:rsidR="00EE2370" w:rsidRPr="007B176D" w:rsidRDefault="00EE2370" w:rsidP="00026478">
            <w:pPr>
              <w:spacing w:after="0" w:line="240" w:lineRule="auto"/>
              <w:jc w:val="center"/>
              <w:rPr>
                <w:rFonts w:ascii="Book Antiqua" w:eastAsia="Times New Roman" w:hAnsi="Book Antiqua" w:cs="Calibri"/>
                <w:color w:val="000000"/>
                <w:sz w:val="24"/>
                <w:szCs w:val="24"/>
              </w:rPr>
            </w:pPr>
            <w:r w:rsidRPr="007B176D">
              <w:rPr>
                <w:rFonts w:ascii="Book Antiqua" w:eastAsia="Times New Roman" w:hAnsi="Book Antiqua" w:cs="Calibri"/>
                <w:color w:val="000000"/>
                <w:sz w:val="24"/>
                <w:szCs w:val="24"/>
              </w:rPr>
              <w:t>1</w:t>
            </w:r>
          </w:p>
        </w:tc>
        <w:tc>
          <w:tcPr>
            <w:tcW w:w="1969" w:type="dxa"/>
            <w:shd w:val="clear" w:color="auto" w:fill="auto"/>
          </w:tcPr>
          <w:p w:rsidR="00EE2370" w:rsidRPr="007B176D" w:rsidRDefault="00EE2370" w:rsidP="00D96DC4">
            <w:pPr>
              <w:rPr>
                <w:rFonts w:ascii="Book Antiqua" w:hAnsi="Book Antiqua" w:cs="Calibri"/>
                <w:color w:val="000000"/>
                <w:sz w:val="24"/>
                <w:szCs w:val="24"/>
              </w:rPr>
            </w:pPr>
            <w:r w:rsidRPr="007B176D">
              <w:rPr>
                <w:rFonts w:ascii="Book Antiqua" w:hAnsi="Book Antiqua" w:cs="Calibri"/>
                <w:color w:val="000000"/>
                <w:sz w:val="24"/>
                <w:szCs w:val="24"/>
              </w:rPr>
              <w:t xml:space="preserve">Appendix-2 (Price Adjustment) in </w:t>
            </w:r>
            <w:r w:rsidRPr="007B176D">
              <w:rPr>
                <w:rFonts w:ascii="Book Antiqua" w:hAnsi="Book Antiqua"/>
                <w:sz w:val="24"/>
                <w:szCs w:val="24"/>
              </w:rPr>
              <w:t>Section – VI: Samples Forms and Procedures    in Vol-1 of Bidding document</w:t>
            </w:r>
          </w:p>
        </w:tc>
        <w:tc>
          <w:tcPr>
            <w:tcW w:w="6030" w:type="dxa"/>
            <w:shd w:val="clear" w:color="auto" w:fill="auto"/>
          </w:tcPr>
          <w:p w:rsidR="00312EE2" w:rsidRPr="007B176D" w:rsidRDefault="00233899" w:rsidP="00D96DC4">
            <w:pPr>
              <w:rPr>
                <w:rFonts w:ascii="Book Antiqua" w:hAnsi="Book Antiqua" w:cs="Calibri"/>
                <w:i/>
                <w:iCs/>
                <w:color w:val="000000"/>
                <w:sz w:val="24"/>
                <w:szCs w:val="24"/>
              </w:rPr>
            </w:pPr>
            <w:r w:rsidRPr="007B176D">
              <w:rPr>
                <w:rFonts w:ascii="Book Antiqua" w:hAnsi="Book Antiqua" w:cs="Calibri"/>
                <w:i/>
                <w:iCs/>
                <w:color w:val="000000"/>
                <w:sz w:val="24"/>
                <w:szCs w:val="24"/>
              </w:rPr>
              <w:t>…</w:t>
            </w:r>
            <w:r w:rsidR="00EF75DD" w:rsidRPr="007B176D">
              <w:rPr>
                <w:rFonts w:ascii="Book Antiqua" w:hAnsi="Book Antiqua" w:cs="Calibri"/>
                <w:i/>
                <w:iCs/>
                <w:color w:val="000000"/>
                <w:sz w:val="24"/>
                <w:szCs w:val="24"/>
              </w:rPr>
              <w:t>…</w:t>
            </w:r>
          </w:p>
          <w:p w:rsidR="00233899" w:rsidRPr="007B176D" w:rsidRDefault="00233899" w:rsidP="00233899">
            <w:pPr>
              <w:ind w:left="693" w:hanging="693"/>
              <w:jc w:val="both"/>
              <w:rPr>
                <w:rFonts w:ascii="Book Antiqua" w:hAnsi="Book Antiqua"/>
                <w:i/>
                <w:iCs/>
                <w:sz w:val="24"/>
                <w:szCs w:val="24"/>
              </w:rPr>
            </w:pPr>
            <w:r w:rsidRPr="007B176D">
              <w:rPr>
                <w:rFonts w:ascii="Book Antiqua" w:hAnsi="Book Antiqua"/>
                <w:i/>
                <w:iCs/>
                <w:sz w:val="24"/>
                <w:szCs w:val="24"/>
              </w:rPr>
              <w:t xml:space="preserve">1.2      All Ex-Works Price Components for Spares, Maintenance &amp; Testing Equipment, etc. and </w:t>
            </w:r>
            <w:r w:rsidRPr="007B176D">
              <w:rPr>
                <w:rFonts w:ascii="Book Antiqua" w:hAnsi="Book Antiqua"/>
                <w:b/>
                <w:bCs/>
                <w:i/>
                <w:iCs/>
                <w:sz w:val="24"/>
                <w:szCs w:val="24"/>
              </w:rPr>
              <w:t>other items not specifically mentioned below</w:t>
            </w:r>
            <w:r w:rsidRPr="007B176D">
              <w:rPr>
                <w:rFonts w:ascii="Book Antiqua" w:hAnsi="Book Antiqua"/>
                <w:i/>
                <w:iCs/>
                <w:sz w:val="24"/>
                <w:szCs w:val="24"/>
              </w:rPr>
              <w:t xml:space="preserve"> shall remain firm and no price adjustment shall be applicable for the price components of these items.</w:t>
            </w:r>
          </w:p>
          <w:p w:rsidR="00233899" w:rsidRPr="007B176D" w:rsidRDefault="00233899" w:rsidP="00233899">
            <w:pPr>
              <w:ind w:left="693" w:hanging="693"/>
              <w:jc w:val="both"/>
              <w:rPr>
                <w:rFonts w:ascii="Book Antiqua" w:hAnsi="Book Antiqua"/>
                <w:i/>
                <w:iCs/>
                <w:sz w:val="24"/>
                <w:szCs w:val="24"/>
              </w:rPr>
            </w:pPr>
            <w:r w:rsidRPr="007B176D">
              <w:rPr>
                <w:rFonts w:ascii="Book Antiqua" w:hAnsi="Book Antiqua"/>
                <w:i/>
                <w:iCs/>
                <w:sz w:val="24"/>
                <w:szCs w:val="24"/>
              </w:rPr>
              <w:t>1.3</w:t>
            </w:r>
            <w:r w:rsidRPr="007B176D">
              <w:rPr>
                <w:rFonts w:ascii="Book Antiqua" w:hAnsi="Book Antiqua"/>
                <w:i/>
                <w:iCs/>
                <w:sz w:val="24"/>
                <w:szCs w:val="24"/>
              </w:rPr>
              <w:tab/>
              <w:t>Other Charges viz. inland transportation, inland insurance, type test charges, computer studies (if any) &amp; training charges etc. shall be firm and no price variation shall be payable for these components.</w:t>
            </w:r>
          </w:p>
          <w:p w:rsidR="00233899" w:rsidRPr="007B176D" w:rsidRDefault="00233899" w:rsidP="00233899">
            <w:pPr>
              <w:ind w:left="720" w:hanging="720"/>
              <w:jc w:val="both"/>
              <w:rPr>
                <w:rFonts w:ascii="Book Antiqua" w:hAnsi="Book Antiqua"/>
                <w:b/>
                <w:bCs/>
                <w:i/>
                <w:iCs/>
                <w:sz w:val="24"/>
                <w:szCs w:val="24"/>
              </w:rPr>
            </w:pPr>
            <w:r w:rsidRPr="007B176D">
              <w:rPr>
                <w:rFonts w:ascii="Book Antiqua" w:hAnsi="Book Antiqua"/>
                <w:b/>
                <w:bCs/>
                <w:i/>
                <w:iCs/>
                <w:snapToGrid w:val="0"/>
                <w:sz w:val="24"/>
                <w:szCs w:val="24"/>
              </w:rPr>
              <w:t>2.</w:t>
            </w:r>
            <w:r w:rsidRPr="007B176D">
              <w:rPr>
                <w:rFonts w:ascii="Book Antiqua" w:hAnsi="Book Antiqua"/>
                <w:b/>
                <w:bCs/>
                <w:i/>
                <w:iCs/>
                <w:snapToGrid w:val="0"/>
                <w:sz w:val="24"/>
                <w:szCs w:val="24"/>
              </w:rPr>
              <w:tab/>
              <w:t>Ex-</w:t>
            </w:r>
            <w:r w:rsidRPr="007B176D">
              <w:rPr>
                <w:rFonts w:ascii="Book Antiqua" w:hAnsi="Book Antiqua"/>
                <w:b/>
                <w:bCs/>
                <w:i/>
                <w:iCs/>
                <w:sz w:val="24"/>
                <w:szCs w:val="24"/>
              </w:rPr>
              <w:t>Works Price Component</w:t>
            </w:r>
          </w:p>
          <w:p w:rsidR="00233899" w:rsidRPr="007B176D" w:rsidRDefault="00233899" w:rsidP="00233899">
            <w:pPr>
              <w:ind w:left="720"/>
              <w:jc w:val="both"/>
              <w:rPr>
                <w:rFonts w:ascii="Book Antiqua" w:hAnsi="Book Antiqua"/>
                <w:i/>
                <w:iCs/>
                <w:sz w:val="24"/>
                <w:szCs w:val="24"/>
              </w:rPr>
            </w:pPr>
            <w:r w:rsidRPr="007B176D">
              <w:rPr>
                <w:rFonts w:ascii="Book Antiqua" w:hAnsi="Book Antiqua"/>
                <w:i/>
                <w:iCs/>
                <w:sz w:val="24"/>
                <w:szCs w:val="24"/>
              </w:rPr>
              <w:t>The formulae for calculating the price adjustment to be applied to the Ex-works price component of the main equipment will be as follows:</w:t>
            </w:r>
          </w:p>
          <w:p w:rsidR="00233899" w:rsidRPr="007B176D" w:rsidRDefault="00233899" w:rsidP="00233899">
            <w:pPr>
              <w:pStyle w:val="ListParagraph"/>
              <w:numPr>
                <w:ilvl w:val="0"/>
                <w:numId w:val="4"/>
              </w:numPr>
              <w:jc w:val="both"/>
              <w:rPr>
                <w:rFonts w:ascii="Book Antiqua" w:hAnsi="Book Antiqua"/>
                <w:b/>
                <w:bCs/>
                <w:i/>
                <w:iCs/>
                <w:sz w:val="24"/>
                <w:szCs w:val="24"/>
              </w:rPr>
            </w:pPr>
            <w:r w:rsidRPr="007B176D">
              <w:rPr>
                <w:rFonts w:ascii="Book Antiqua" w:hAnsi="Book Antiqua"/>
                <w:b/>
                <w:bCs/>
                <w:i/>
                <w:iCs/>
                <w:sz w:val="24"/>
                <w:szCs w:val="24"/>
              </w:rPr>
              <w:t>Price adjustment formula for Ex-works Price component of Transformer (excluding Insulating Oil) (ratings above 10MVA or voltage above 33kV up to 400kV)</w:t>
            </w:r>
          </w:p>
          <w:p w:rsidR="00233899" w:rsidRPr="007B176D" w:rsidRDefault="00233899" w:rsidP="00233899">
            <w:pPr>
              <w:ind w:left="90"/>
              <w:jc w:val="both"/>
              <w:rPr>
                <w:rFonts w:ascii="Book Antiqua" w:hAnsi="Book Antiqua"/>
                <w:b/>
                <w:bCs/>
                <w:i/>
                <w:iCs/>
                <w:sz w:val="24"/>
                <w:szCs w:val="24"/>
              </w:rPr>
            </w:pPr>
            <w:r w:rsidRPr="007B176D">
              <w:rPr>
                <w:rFonts w:ascii="Book Antiqua" w:hAnsi="Book Antiqua"/>
                <w:b/>
                <w:bCs/>
                <w:i/>
                <w:iCs/>
                <w:sz w:val="24"/>
                <w:szCs w:val="24"/>
              </w:rPr>
              <w:lastRenderedPageBreak/>
              <w:t>……..</w:t>
            </w:r>
          </w:p>
          <w:p w:rsidR="00233899" w:rsidRPr="007B176D" w:rsidRDefault="00233899" w:rsidP="00233899">
            <w:pPr>
              <w:ind w:left="90"/>
              <w:jc w:val="both"/>
              <w:rPr>
                <w:rFonts w:ascii="Book Antiqua" w:hAnsi="Book Antiqua"/>
                <w:b/>
                <w:bCs/>
                <w:i/>
                <w:iCs/>
                <w:sz w:val="24"/>
                <w:szCs w:val="24"/>
              </w:rPr>
            </w:pPr>
            <w:r w:rsidRPr="007B176D">
              <w:rPr>
                <w:rFonts w:ascii="Book Antiqua" w:hAnsi="Book Antiqua"/>
                <w:b/>
                <w:bCs/>
                <w:i/>
                <w:iCs/>
                <w:sz w:val="24"/>
                <w:szCs w:val="24"/>
              </w:rPr>
              <w:t>……..</w:t>
            </w:r>
          </w:p>
          <w:p w:rsidR="00233899" w:rsidRPr="007B176D" w:rsidRDefault="00233899" w:rsidP="00233899">
            <w:pPr>
              <w:jc w:val="both"/>
              <w:rPr>
                <w:rFonts w:ascii="Book Antiqua" w:hAnsi="Book Antiqua"/>
                <w:b/>
                <w:bCs/>
                <w:i/>
                <w:iCs/>
                <w:snapToGrid w:val="0"/>
                <w:sz w:val="24"/>
                <w:szCs w:val="24"/>
              </w:rPr>
            </w:pPr>
            <w:r w:rsidRPr="007B176D">
              <w:rPr>
                <w:rFonts w:ascii="Book Antiqua" w:hAnsi="Book Antiqua"/>
                <w:b/>
                <w:bCs/>
                <w:i/>
                <w:iCs/>
                <w:snapToGrid w:val="0"/>
                <w:sz w:val="24"/>
                <w:szCs w:val="24"/>
              </w:rPr>
              <w:t xml:space="preserve">B. </w:t>
            </w:r>
            <w:r w:rsidRPr="007B176D">
              <w:rPr>
                <w:rFonts w:ascii="Book Antiqua" w:hAnsi="Book Antiqua"/>
                <w:b/>
                <w:bCs/>
                <w:i/>
                <w:iCs/>
                <w:snapToGrid w:val="0"/>
                <w:sz w:val="24"/>
                <w:szCs w:val="24"/>
              </w:rPr>
              <w:tab/>
              <w:t>For Insulating Oil for Transformer</w:t>
            </w:r>
          </w:p>
          <w:p w:rsidR="00520C3B" w:rsidRPr="007B176D" w:rsidRDefault="00520C3B" w:rsidP="00D96DC4">
            <w:pPr>
              <w:rPr>
                <w:rFonts w:ascii="Book Antiqua" w:hAnsi="Book Antiqua" w:cs="Calibri"/>
                <w:i/>
                <w:iCs/>
                <w:color w:val="000000"/>
                <w:sz w:val="24"/>
                <w:szCs w:val="24"/>
              </w:rPr>
            </w:pPr>
            <w:r w:rsidRPr="007B176D">
              <w:rPr>
                <w:rFonts w:ascii="Book Antiqua" w:hAnsi="Book Antiqua" w:cs="Calibri"/>
                <w:i/>
                <w:iCs/>
                <w:color w:val="000000"/>
                <w:sz w:val="24"/>
                <w:szCs w:val="24"/>
              </w:rPr>
              <w:t>……..</w:t>
            </w:r>
          </w:p>
        </w:tc>
        <w:tc>
          <w:tcPr>
            <w:tcW w:w="4050" w:type="dxa"/>
            <w:shd w:val="clear" w:color="auto" w:fill="auto"/>
          </w:tcPr>
          <w:p w:rsidR="0078689F" w:rsidRPr="007B176D" w:rsidRDefault="0078689F" w:rsidP="002144C4">
            <w:pPr>
              <w:spacing w:after="0" w:line="240" w:lineRule="auto"/>
              <w:jc w:val="both"/>
              <w:rPr>
                <w:rFonts w:ascii="Book Antiqua" w:eastAsia="Arial Unicode MS" w:hAnsi="Book Antiqua" w:cs="Arial Unicode MS"/>
                <w:sz w:val="24"/>
                <w:szCs w:val="24"/>
              </w:rPr>
            </w:pPr>
            <w:r w:rsidRPr="007B176D">
              <w:rPr>
                <w:rFonts w:ascii="Book Antiqua" w:eastAsia="Arial Unicode MS" w:hAnsi="Book Antiqua" w:cs="Arial Unicode MS"/>
                <w:sz w:val="24"/>
                <w:szCs w:val="24"/>
              </w:rPr>
              <w:lastRenderedPageBreak/>
              <w:t xml:space="preserve">We would like to bring in your kind notice that raw material prices are drastically changing, in this regards request you to kindly consider PV clause for following items </w:t>
            </w:r>
            <w:proofErr w:type="gramStart"/>
            <w:r w:rsidRPr="007B176D">
              <w:rPr>
                <w:rFonts w:ascii="Book Antiqua" w:eastAsia="Arial Unicode MS" w:hAnsi="Book Antiqua" w:cs="Arial Unicode MS"/>
                <w:sz w:val="24"/>
                <w:szCs w:val="24"/>
              </w:rPr>
              <w:t>also:-</w:t>
            </w:r>
            <w:proofErr w:type="gramEnd"/>
          </w:p>
          <w:p w:rsidR="0078689F" w:rsidRPr="007B176D" w:rsidRDefault="0078689F" w:rsidP="002144C4">
            <w:pPr>
              <w:spacing w:after="0" w:line="240" w:lineRule="auto"/>
              <w:jc w:val="both"/>
              <w:rPr>
                <w:rFonts w:ascii="Book Antiqua" w:eastAsia="Arial Unicode MS" w:hAnsi="Book Antiqua" w:cs="Arial Unicode MS"/>
                <w:sz w:val="24"/>
                <w:szCs w:val="24"/>
              </w:rPr>
            </w:pPr>
          </w:p>
          <w:p w:rsidR="00EE2370" w:rsidRPr="007B176D" w:rsidRDefault="0078689F" w:rsidP="002144C4">
            <w:pPr>
              <w:spacing w:after="0" w:line="240" w:lineRule="auto"/>
              <w:jc w:val="both"/>
              <w:rPr>
                <w:rFonts w:ascii="Book Antiqua" w:hAnsi="Book Antiqua" w:cs="Calibri"/>
                <w:color w:val="000000"/>
                <w:sz w:val="24"/>
                <w:szCs w:val="24"/>
              </w:rPr>
            </w:pPr>
            <w:r w:rsidRPr="007B176D">
              <w:rPr>
                <w:rFonts w:ascii="Book Antiqua" w:eastAsia="Arial Unicode MS" w:hAnsi="Book Antiqua" w:cs="Arial Unicode MS"/>
                <w:sz w:val="24"/>
                <w:szCs w:val="24"/>
              </w:rPr>
              <w:t>AIS Equipment [CVT, Surge Ar</w:t>
            </w:r>
            <w:bookmarkStart w:id="0" w:name="_GoBack"/>
            <w:bookmarkEnd w:id="0"/>
            <w:r w:rsidRPr="007B176D">
              <w:rPr>
                <w:rFonts w:ascii="Book Antiqua" w:eastAsia="Arial Unicode MS" w:hAnsi="Book Antiqua" w:cs="Arial Unicode MS"/>
                <w:sz w:val="24"/>
                <w:szCs w:val="24"/>
              </w:rPr>
              <w:t>restor, Current Transformer, Circuit Breaker]</w:t>
            </w:r>
            <w:r w:rsidR="002144C4" w:rsidRPr="007B176D">
              <w:rPr>
                <w:rFonts w:ascii="Book Antiqua" w:eastAsia="Arial Unicode MS" w:hAnsi="Book Antiqua" w:cs="Arial Unicode MS"/>
                <w:sz w:val="24"/>
                <w:szCs w:val="24"/>
              </w:rPr>
              <w:t xml:space="preserve"> </w:t>
            </w:r>
            <w:r w:rsidRPr="007B176D">
              <w:rPr>
                <w:rFonts w:ascii="Book Antiqua" w:eastAsia="Arial Unicode MS" w:hAnsi="Book Antiqua" w:cs="Arial Unicode MS"/>
                <w:sz w:val="24"/>
                <w:szCs w:val="24"/>
              </w:rPr>
              <w:t>PVC/XLPE Insulated Power and Control Cables.</w:t>
            </w:r>
            <w:r w:rsidR="002144C4" w:rsidRPr="007B176D">
              <w:rPr>
                <w:rFonts w:ascii="Book Antiqua" w:eastAsia="Arial Unicode MS" w:hAnsi="Book Antiqua" w:cs="Arial Unicode MS"/>
                <w:sz w:val="24"/>
                <w:szCs w:val="24"/>
              </w:rPr>
              <w:t xml:space="preserve"> </w:t>
            </w:r>
            <w:r w:rsidRPr="007B176D">
              <w:rPr>
                <w:rFonts w:ascii="Book Antiqua" w:eastAsia="Arial Unicode MS" w:hAnsi="Book Antiqua" w:cs="Arial Unicode MS"/>
                <w:sz w:val="24"/>
                <w:szCs w:val="24"/>
              </w:rPr>
              <w:t>Sub Station Structures (including Bolts &amp; Nuts).</w:t>
            </w:r>
            <w:r w:rsidR="002144C4" w:rsidRPr="007B176D">
              <w:rPr>
                <w:rFonts w:ascii="Book Antiqua" w:eastAsia="Arial Unicode MS" w:hAnsi="Book Antiqua" w:cs="Arial Unicode MS"/>
                <w:sz w:val="24"/>
                <w:szCs w:val="24"/>
              </w:rPr>
              <w:t xml:space="preserve"> </w:t>
            </w:r>
            <w:r w:rsidRPr="007B176D">
              <w:rPr>
                <w:rFonts w:ascii="Book Antiqua" w:eastAsia="Arial Unicode MS" w:hAnsi="Book Antiqua" w:cs="Arial Unicode MS"/>
                <w:sz w:val="24"/>
                <w:szCs w:val="24"/>
              </w:rPr>
              <w:t>Installation (including Civil Works) Price Component.</w:t>
            </w:r>
          </w:p>
        </w:tc>
        <w:tc>
          <w:tcPr>
            <w:tcW w:w="2171" w:type="dxa"/>
            <w:shd w:val="clear" w:color="auto" w:fill="auto"/>
          </w:tcPr>
          <w:p w:rsidR="00EE2370" w:rsidRPr="007B176D" w:rsidRDefault="007D0FB4" w:rsidP="00D96DC4">
            <w:pPr>
              <w:spacing w:after="0" w:line="240" w:lineRule="auto"/>
              <w:jc w:val="both"/>
              <w:rPr>
                <w:rFonts w:ascii="Book Antiqua" w:eastAsia="Times New Roman" w:hAnsi="Book Antiqua" w:cs="Calibri"/>
                <w:color w:val="000000"/>
                <w:sz w:val="24"/>
                <w:szCs w:val="24"/>
              </w:rPr>
            </w:pPr>
            <w:r w:rsidRPr="007B176D">
              <w:rPr>
                <w:rFonts w:ascii="Book Antiqua" w:eastAsia="Times New Roman" w:hAnsi="Book Antiqua" w:cs="Calibri"/>
                <w:color w:val="000000"/>
                <w:sz w:val="24"/>
                <w:szCs w:val="24"/>
              </w:rPr>
              <w:t xml:space="preserve">Existing Provision of bidding document shall prevail. </w:t>
            </w:r>
          </w:p>
        </w:tc>
      </w:tr>
      <w:tr w:rsidR="006078CE" w:rsidRPr="007B176D" w:rsidTr="007B176D">
        <w:trPr>
          <w:trHeight w:val="530"/>
          <w:jc w:val="center"/>
        </w:trPr>
        <w:tc>
          <w:tcPr>
            <w:tcW w:w="645" w:type="dxa"/>
            <w:shd w:val="clear" w:color="auto" w:fill="auto"/>
            <w:noWrap/>
          </w:tcPr>
          <w:p w:rsidR="006078CE" w:rsidRPr="007B176D" w:rsidRDefault="0052351E" w:rsidP="00026478">
            <w:pPr>
              <w:spacing w:after="0" w:line="240" w:lineRule="auto"/>
              <w:jc w:val="center"/>
              <w:rPr>
                <w:rFonts w:ascii="Book Antiqua" w:eastAsia="Times New Roman" w:hAnsi="Book Antiqua" w:cs="Calibri"/>
                <w:color w:val="000000"/>
                <w:sz w:val="24"/>
                <w:szCs w:val="24"/>
              </w:rPr>
            </w:pPr>
            <w:r w:rsidRPr="007B176D">
              <w:rPr>
                <w:rFonts w:ascii="Book Antiqua" w:eastAsia="Times New Roman" w:hAnsi="Book Antiqua" w:cs="Calibri"/>
                <w:color w:val="000000"/>
                <w:sz w:val="24"/>
                <w:szCs w:val="24"/>
              </w:rPr>
              <w:t>2</w:t>
            </w:r>
          </w:p>
        </w:tc>
        <w:tc>
          <w:tcPr>
            <w:tcW w:w="1969" w:type="dxa"/>
            <w:shd w:val="clear" w:color="auto" w:fill="auto"/>
          </w:tcPr>
          <w:p w:rsidR="006078CE" w:rsidRPr="007B176D" w:rsidRDefault="00850E86" w:rsidP="00D96DC4">
            <w:pPr>
              <w:rPr>
                <w:rFonts w:ascii="Book Antiqua" w:hAnsi="Book Antiqua" w:cs="Calibri"/>
                <w:color w:val="000000"/>
                <w:sz w:val="24"/>
                <w:szCs w:val="24"/>
              </w:rPr>
            </w:pPr>
            <w:r w:rsidRPr="007B176D">
              <w:rPr>
                <w:rFonts w:ascii="Book Antiqua" w:hAnsi="Book Antiqua" w:cs="Calibri"/>
                <w:color w:val="000000"/>
                <w:sz w:val="24"/>
                <w:szCs w:val="24"/>
              </w:rPr>
              <w:t xml:space="preserve">GCC Clause 6 </w:t>
            </w:r>
            <w:r w:rsidRPr="007B176D">
              <w:rPr>
                <w:rFonts w:ascii="Book Antiqua" w:hAnsi="Book Antiqua" w:cs="Calibri"/>
                <w:i/>
                <w:iCs/>
                <w:color w:val="000000"/>
                <w:sz w:val="24"/>
                <w:szCs w:val="24"/>
              </w:rPr>
              <w:t>(Employer’s Responsibilities)</w:t>
            </w:r>
            <w:r w:rsidRPr="007B176D">
              <w:rPr>
                <w:rFonts w:ascii="Book Antiqua" w:hAnsi="Book Antiqua" w:cs="Calibri"/>
                <w:color w:val="000000"/>
                <w:sz w:val="24"/>
                <w:szCs w:val="24"/>
              </w:rPr>
              <w:t xml:space="preserve"> in </w:t>
            </w:r>
            <w:proofErr w:type="spellStart"/>
            <w:r w:rsidRPr="007B176D">
              <w:rPr>
                <w:rFonts w:ascii="Book Antiqua" w:hAnsi="Book Antiqua" w:cs="Calibri"/>
                <w:color w:val="000000"/>
                <w:sz w:val="24"/>
                <w:szCs w:val="24"/>
              </w:rPr>
              <w:t>Vol.I</w:t>
            </w:r>
            <w:proofErr w:type="spellEnd"/>
            <w:r w:rsidR="00DD70FA" w:rsidRPr="007B176D">
              <w:rPr>
                <w:rFonts w:ascii="Book Antiqua" w:hAnsi="Book Antiqua" w:cs="Calibri"/>
                <w:color w:val="000000"/>
                <w:sz w:val="24"/>
                <w:szCs w:val="24"/>
              </w:rPr>
              <w:t xml:space="preserve"> Bidding Document </w:t>
            </w:r>
          </w:p>
        </w:tc>
        <w:tc>
          <w:tcPr>
            <w:tcW w:w="6030" w:type="dxa"/>
            <w:shd w:val="clear" w:color="auto" w:fill="auto"/>
          </w:tcPr>
          <w:p w:rsidR="0077296D" w:rsidRPr="007B176D" w:rsidRDefault="0077296D" w:rsidP="0077296D">
            <w:pPr>
              <w:jc w:val="both"/>
              <w:rPr>
                <w:rFonts w:ascii="Book Antiqua" w:hAnsi="Book Antiqua"/>
                <w:i/>
                <w:iCs/>
                <w:sz w:val="24"/>
                <w:szCs w:val="24"/>
              </w:rPr>
            </w:pPr>
            <w:r w:rsidRPr="007B176D">
              <w:rPr>
                <w:rFonts w:ascii="Book Antiqua" w:hAnsi="Book Antiqua" w:cs="Calibri"/>
                <w:i/>
                <w:iCs/>
                <w:color w:val="000000"/>
                <w:sz w:val="24"/>
                <w:szCs w:val="24"/>
              </w:rPr>
              <w:t xml:space="preserve">6. </w:t>
            </w:r>
            <w:r w:rsidRPr="007B176D">
              <w:rPr>
                <w:rFonts w:ascii="Book Antiqua" w:hAnsi="Book Antiqua"/>
                <w:i/>
                <w:iCs/>
                <w:sz w:val="24"/>
                <w:szCs w:val="24"/>
              </w:rPr>
              <w:t>Employer’s Responsibilities</w:t>
            </w:r>
          </w:p>
          <w:p w:rsidR="0077296D" w:rsidRPr="007B176D" w:rsidRDefault="0077296D" w:rsidP="0077296D">
            <w:pPr>
              <w:jc w:val="both"/>
              <w:rPr>
                <w:rFonts w:ascii="Book Antiqua" w:hAnsi="Book Antiqua" w:cs="Calibri"/>
                <w:i/>
                <w:iCs/>
                <w:color w:val="000000"/>
                <w:sz w:val="24"/>
                <w:szCs w:val="24"/>
              </w:rPr>
            </w:pPr>
            <w:r w:rsidRPr="007B176D">
              <w:rPr>
                <w:rFonts w:ascii="Book Antiqua" w:hAnsi="Book Antiqua" w:cs="Calibri"/>
                <w:i/>
                <w:iCs/>
                <w:color w:val="000000"/>
                <w:sz w:val="24"/>
                <w:szCs w:val="24"/>
              </w:rPr>
              <w:t>….</w:t>
            </w:r>
          </w:p>
          <w:p w:rsidR="00DD70FA" w:rsidRDefault="0077296D" w:rsidP="0077296D">
            <w:pPr>
              <w:jc w:val="both"/>
              <w:rPr>
                <w:rFonts w:ascii="Book Antiqua" w:hAnsi="Book Antiqua"/>
                <w:i/>
                <w:iCs/>
                <w:sz w:val="24"/>
                <w:szCs w:val="24"/>
              </w:rPr>
            </w:pPr>
            <w:r w:rsidRPr="007B176D">
              <w:rPr>
                <w:rFonts w:ascii="Book Antiqua" w:hAnsi="Book Antiqua" w:cs="Calibri"/>
                <w:i/>
                <w:iCs/>
                <w:color w:val="000000"/>
                <w:sz w:val="24"/>
                <w:szCs w:val="24"/>
              </w:rPr>
              <w:t xml:space="preserve">6.2 </w:t>
            </w:r>
            <w:r w:rsidRPr="007B176D">
              <w:rPr>
                <w:rFonts w:ascii="Book Antiqua" w:hAnsi="Book Antiqua"/>
                <w:i/>
                <w:iCs/>
                <w:sz w:val="24"/>
                <w:szCs w:val="24"/>
              </w:rPr>
              <w:t xml:space="preserve">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corresponding Appendix – 6 (Scope of Works and Supply by the Employer) to the Contract Agreement. The Employer shall give full possession of </w:t>
            </w:r>
            <w:proofErr w:type="spellStart"/>
            <w:r w:rsidRPr="007B176D">
              <w:rPr>
                <w:rFonts w:ascii="Book Antiqua" w:hAnsi="Book Antiqua"/>
                <w:i/>
                <w:iCs/>
                <w:sz w:val="24"/>
                <w:szCs w:val="24"/>
              </w:rPr>
              <w:t>and</w:t>
            </w:r>
            <w:proofErr w:type="spellEnd"/>
            <w:r w:rsidRPr="007B176D">
              <w:rPr>
                <w:rFonts w:ascii="Book Antiqua" w:hAnsi="Book Antiqua"/>
                <w:i/>
                <w:iCs/>
                <w:sz w:val="24"/>
                <w:szCs w:val="24"/>
              </w:rPr>
              <w:t xml:space="preserve"> accord all rights of access thereto on or before the date(s) specified in that Appendix. </w:t>
            </w:r>
          </w:p>
          <w:p w:rsidR="007B176D" w:rsidRPr="007B176D" w:rsidRDefault="007B176D" w:rsidP="0077296D">
            <w:pPr>
              <w:jc w:val="both"/>
              <w:rPr>
                <w:rFonts w:ascii="Book Antiqua" w:hAnsi="Book Antiqua" w:cs="Calibri"/>
                <w:i/>
                <w:iCs/>
                <w:color w:val="000000"/>
                <w:sz w:val="24"/>
                <w:szCs w:val="24"/>
              </w:rPr>
            </w:pPr>
          </w:p>
        </w:tc>
        <w:tc>
          <w:tcPr>
            <w:tcW w:w="4050" w:type="dxa"/>
            <w:shd w:val="clear" w:color="auto" w:fill="auto"/>
          </w:tcPr>
          <w:p w:rsidR="0077296D" w:rsidRPr="007B176D" w:rsidRDefault="0077296D" w:rsidP="00D96DC4">
            <w:pPr>
              <w:jc w:val="both"/>
              <w:rPr>
                <w:rFonts w:ascii="Book Antiqua" w:eastAsia="Arial Unicode MS" w:hAnsi="Book Antiqua" w:cs="Arial Unicode MS"/>
                <w:sz w:val="24"/>
                <w:szCs w:val="24"/>
              </w:rPr>
            </w:pPr>
            <w:r w:rsidRPr="007B176D">
              <w:rPr>
                <w:rFonts w:ascii="Book Antiqua" w:eastAsia="Arial Unicode MS" w:hAnsi="Book Antiqua" w:cs="Arial Unicode MS"/>
                <w:sz w:val="24"/>
                <w:szCs w:val="24"/>
              </w:rPr>
              <w:t>Internal Site Access Roads</w:t>
            </w:r>
          </w:p>
          <w:p w:rsidR="006078CE" w:rsidRPr="007B176D" w:rsidRDefault="006078CE" w:rsidP="00D96DC4">
            <w:pPr>
              <w:jc w:val="both"/>
              <w:rPr>
                <w:rFonts w:ascii="Book Antiqua" w:hAnsi="Book Antiqua" w:cs="Calibri"/>
                <w:color w:val="000000"/>
                <w:sz w:val="24"/>
                <w:szCs w:val="24"/>
              </w:rPr>
            </w:pPr>
            <w:r w:rsidRPr="007B176D">
              <w:rPr>
                <w:rFonts w:ascii="Book Antiqua" w:eastAsia="Arial Unicode MS" w:hAnsi="Book Antiqua" w:cs="Arial Unicode MS"/>
                <w:sz w:val="24"/>
                <w:szCs w:val="24"/>
              </w:rPr>
              <w:t>We understand that the Internal Site Access Roads Until the plinth of the transformer are made available by the Owner (or by Owner through relevant authorities) to the Contractor for the Project Works i.e. Movement of Construction Vehicles, Transportation of project Personnel, Equipment etc. Please confirm.</w:t>
            </w:r>
          </w:p>
        </w:tc>
        <w:tc>
          <w:tcPr>
            <w:tcW w:w="2171" w:type="dxa"/>
            <w:shd w:val="clear" w:color="auto" w:fill="auto"/>
          </w:tcPr>
          <w:p w:rsidR="006078CE" w:rsidRPr="007B176D" w:rsidRDefault="004879D3" w:rsidP="00D96DC4">
            <w:pPr>
              <w:spacing w:after="0" w:line="240" w:lineRule="auto"/>
              <w:jc w:val="both"/>
              <w:rPr>
                <w:rFonts w:ascii="Book Antiqua" w:eastAsia="Times New Roman" w:hAnsi="Book Antiqua" w:cs="Calibri"/>
                <w:color w:val="000000"/>
                <w:sz w:val="24"/>
                <w:szCs w:val="24"/>
              </w:rPr>
            </w:pPr>
            <w:r w:rsidRPr="007B176D">
              <w:rPr>
                <w:rFonts w:ascii="Book Antiqua" w:eastAsia="Times New Roman" w:hAnsi="Book Antiqua" w:cs="Calibri"/>
                <w:color w:val="000000"/>
                <w:sz w:val="24"/>
                <w:szCs w:val="24"/>
              </w:rPr>
              <w:t xml:space="preserve">Provision of the bidding document is amply clear. Please refer GCC Clause 6 in this regard.     </w:t>
            </w:r>
          </w:p>
        </w:tc>
      </w:tr>
      <w:tr w:rsidR="008C66B5" w:rsidRPr="007B176D" w:rsidTr="007B176D">
        <w:trPr>
          <w:trHeight w:val="530"/>
          <w:jc w:val="center"/>
        </w:trPr>
        <w:tc>
          <w:tcPr>
            <w:tcW w:w="645" w:type="dxa"/>
            <w:shd w:val="clear" w:color="auto" w:fill="auto"/>
            <w:noWrap/>
          </w:tcPr>
          <w:p w:rsidR="008C66B5" w:rsidRPr="007B176D" w:rsidRDefault="00FD4C1E" w:rsidP="00026478">
            <w:pPr>
              <w:spacing w:after="0" w:line="240" w:lineRule="auto"/>
              <w:jc w:val="center"/>
              <w:rPr>
                <w:rFonts w:ascii="Book Antiqua" w:eastAsia="Times New Roman" w:hAnsi="Book Antiqua" w:cs="Calibri"/>
                <w:color w:val="000000"/>
                <w:sz w:val="24"/>
                <w:szCs w:val="24"/>
              </w:rPr>
            </w:pPr>
            <w:r w:rsidRPr="007B176D">
              <w:rPr>
                <w:rFonts w:ascii="Book Antiqua" w:eastAsia="Times New Roman" w:hAnsi="Book Antiqua" w:cs="Calibri"/>
                <w:color w:val="000000"/>
                <w:sz w:val="24"/>
                <w:szCs w:val="24"/>
              </w:rPr>
              <w:lastRenderedPageBreak/>
              <w:t>3</w:t>
            </w:r>
          </w:p>
        </w:tc>
        <w:tc>
          <w:tcPr>
            <w:tcW w:w="1969" w:type="dxa"/>
            <w:shd w:val="clear" w:color="auto" w:fill="auto"/>
          </w:tcPr>
          <w:p w:rsidR="008C66B5" w:rsidRPr="007B176D" w:rsidRDefault="00DD70FA" w:rsidP="00D96DC4">
            <w:pPr>
              <w:rPr>
                <w:rFonts w:ascii="Book Antiqua" w:hAnsi="Book Antiqua" w:cs="Calibri"/>
                <w:color w:val="000000"/>
                <w:sz w:val="24"/>
                <w:szCs w:val="24"/>
              </w:rPr>
            </w:pPr>
            <w:r w:rsidRPr="007B176D">
              <w:rPr>
                <w:rFonts w:ascii="Book Antiqua" w:hAnsi="Book Antiqua" w:cs="Calibri"/>
                <w:color w:val="000000"/>
                <w:sz w:val="24"/>
                <w:szCs w:val="24"/>
              </w:rPr>
              <w:t xml:space="preserve">GCC 9.3.1 (Performance Security) in </w:t>
            </w:r>
            <w:proofErr w:type="spellStart"/>
            <w:r w:rsidRPr="007B176D">
              <w:rPr>
                <w:rFonts w:ascii="Book Antiqua" w:hAnsi="Book Antiqua" w:cs="Calibri"/>
                <w:color w:val="000000"/>
                <w:sz w:val="24"/>
                <w:szCs w:val="24"/>
              </w:rPr>
              <w:t>Vol.I</w:t>
            </w:r>
            <w:proofErr w:type="spellEnd"/>
            <w:r w:rsidRPr="007B176D">
              <w:rPr>
                <w:rFonts w:ascii="Book Antiqua" w:hAnsi="Book Antiqua" w:cs="Calibri"/>
                <w:color w:val="000000"/>
                <w:sz w:val="24"/>
                <w:szCs w:val="24"/>
              </w:rPr>
              <w:t xml:space="preserve"> Bidding Document</w:t>
            </w:r>
          </w:p>
        </w:tc>
        <w:tc>
          <w:tcPr>
            <w:tcW w:w="6030" w:type="dxa"/>
            <w:shd w:val="clear" w:color="auto" w:fill="auto"/>
          </w:tcPr>
          <w:p w:rsidR="008C66B5" w:rsidRPr="007B176D" w:rsidRDefault="00DD70FA" w:rsidP="00D96DC4">
            <w:pPr>
              <w:rPr>
                <w:rFonts w:ascii="Book Antiqua" w:hAnsi="Book Antiqua" w:cs="Calibri"/>
                <w:color w:val="000000"/>
                <w:sz w:val="24"/>
                <w:szCs w:val="24"/>
              </w:rPr>
            </w:pPr>
            <w:r w:rsidRPr="007B176D">
              <w:rPr>
                <w:rFonts w:ascii="Book Antiqua" w:hAnsi="Book Antiqua" w:cs="Calibri"/>
                <w:color w:val="000000"/>
                <w:sz w:val="24"/>
                <w:szCs w:val="24"/>
              </w:rPr>
              <w:t>Performance Security</w:t>
            </w:r>
          </w:p>
          <w:p w:rsidR="00900912" w:rsidRPr="007B176D" w:rsidRDefault="00944A7C" w:rsidP="00944A7C">
            <w:pPr>
              <w:jc w:val="both"/>
              <w:rPr>
                <w:rFonts w:ascii="Book Antiqua" w:hAnsi="Book Antiqua" w:cs="Calibri"/>
                <w:color w:val="000000"/>
                <w:sz w:val="24"/>
                <w:szCs w:val="24"/>
              </w:rPr>
            </w:pPr>
            <w:r w:rsidRPr="007B176D">
              <w:rPr>
                <w:rFonts w:ascii="Book Antiqua" w:hAnsi="Book Antiqua" w:cs="Calibri"/>
                <w:color w:val="000000"/>
                <w:sz w:val="24"/>
                <w:szCs w:val="24"/>
              </w:rPr>
              <w:t xml:space="preserve">9.3.1 The Contractor shall, within twenty-eight (28) days of the notification of award, provide a performance security for the due performance of the Contract in the amount equivalent to Ten percent (10%) of the Contract Price, with a validity </w:t>
            </w:r>
            <w:proofErr w:type="spellStart"/>
            <w:r w:rsidRPr="007B176D">
              <w:rPr>
                <w:rFonts w:ascii="Book Antiqua" w:hAnsi="Book Antiqua" w:cs="Calibri"/>
                <w:color w:val="000000"/>
                <w:sz w:val="24"/>
                <w:szCs w:val="24"/>
              </w:rPr>
              <w:t>upto</w:t>
            </w:r>
            <w:proofErr w:type="spellEnd"/>
            <w:r w:rsidRPr="007B176D">
              <w:rPr>
                <w:rFonts w:ascii="Book Antiqua" w:hAnsi="Book Antiqua" w:cs="Calibri"/>
                <w:color w:val="000000"/>
                <w:sz w:val="24"/>
                <w:szCs w:val="24"/>
              </w:rPr>
              <w:t xml:space="preserve"> ninety (90) days beyond the Defect Liability Period. The same shall be extended by the Contractor time to time till ninety (90) days beyond the actual Defect Liability Period, as may be required under the Contract. Apart from the </w:t>
            </w:r>
            <w:proofErr w:type="spellStart"/>
            <w:r w:rsidRPr="007B176D">
              <w:rPr>
                <w:rFonts w:ascii="Book Antiqua" w:hAnsi="Book Antiqua" w:cs="Calibri"/>
                <w:color w:val="000000"/>
                <w:sz w:val="24"/>
                <w:szCs w:val="24"/>
              </w:rPr>
              <w:t>Contractor</w:t>
            </w:r>
            <w:r w:rsidRPr="007B176D">
              <w:rPr>
                <w:rFonts w:ascii="Times New Roman" w:hAnsi="Times New Roman" w:cs="Times New Roman"/>
                <w:color w:val="000000"/>
                <w:sz w:val="24"/>
                <w:szCs w:val="24"/>
              </w:rPr>
              <w:t>‟</w:t>
            </w:r>
            <w:r w:rsidRPr="007B176D">
              <w:rPr>
                <w:rFonts w:ascii="Book Antiqua" w:hAnsi="Book Antiqua" w:cs="Calibri"/>
                <w:color w:val="000000"/>
                <w:sz w:val="24"/>
                <w:szCs w:val="24"/>
              </w:rPr>
              <w:t>s</w:t>
            </w:r>
            <w:proofErr w:type="spellEnd"/>
            <w:r w:rsidRPr="007B176D">
              <w:rPr>
                <w:rFonts w:ascii="Book Antiqua" w:hAnsi="Book Antiqua" w:cs="Calibri"/>
                <w:color w:val="000000"/>
                <w:sz w:val="24"/>
                <w:szCs w:val="24"/>
              </w:rPr>
              <w:t xml:space="preserve"> performance security, the Contractor shall be required to arrange additional performance securities, as specified in SCC, within twenty-eight (28) days of the notification of award in </w:t>
            </w:r>
            <w:proofErr w:type="spellStart"/>
            <w:r w:rsidRPr="007B176D">
              <w:rPr>
                <w:rFonts w:ascii="Book Antiqua" w:hAnsi="Book Antiqua" w:cs="Calibri"/>
                <w:color w:val="000000"/>
                <w:sz w:val="24"/>
                <w:szCs w:val="24"/>
              </w:rPr>
              <w:t>favour</w:t>
            </w:r>
            <w:proofErr w:type="spellEnd"/>
            <w:r w:rsidRPr="007B176D">
              <w:rPr>
                <w:rFonts w:ascii="Book Antiqua" w:hAnsi="Book Antiqua" w:cs="Calibri"/>
                <w:color w:val="000000"/>
                <w:sz w:val="24"/>
                <w:szCs w:val="24"/>
              </w:rPr>
              <w:t xml:space="preserve"> of the Employer in the form acceptable to the Employer.</w:t>
            </w:r>
          </w:p>
        </w:tc>
        <w:tc>
          <w:tcPr>
            <w:tcW w:w="4050" w:type="dxa"/>
            <w:shd w:val="clear" w:color="auto" w:fill="auto"/>
          </w:tcPr>
          <w:p w:rsidR="00FD4C1E" w:rsidRPr="007B176D" w:rsidRDefault="00FD4C1E" w:rsidP="00FD4C1E">
            <w:pPr>
              <w:jc w:val="both"/>
              <w:rPr>
                <w:rFonts w:ascii="Book Antiqua" w:eastAsia="Arial Unicode MS" w:hAnsi="Book Antiqua" w:cs="Arial Unicode MS"/>
                <w:sz w:val="24"/>
                <w:szCs w:val="24"/>
              </w:rPr>
            </w:pPr>
            <w:r w:rsidRPr="007B176D">
              <w:rPr>
                <w:rFonts w:ascii="Book Antiqua" w:eastAsia="Arial Unicode MS" w:hAnsi="Book Antiqua" w:cs="Arial Unicode MS"/>
                <w:sz w:val="24"/>
                <w:szCs w:val="24"/>
              </w:rPr>
              <w:t xml:space="preserve">We would like to bring to your notice that under this package Tr-34 there are Six Sub-Stations with different completion periods, if one sub-station site under the contract is delayed beyond actual scheduled completion date, we are obligatory to extend the </w:t>
            </w:r>
            <w:proofErr w:type="spellStart"/>
            <w:r w:rsidRPr="007B176D">
              <w:rPr>
                <w:rFonts w:ascii="Book Antiqua" w:eastAsia="Arial Unicode MS" w:hAnsi="Book Antiqua" w:cs="Arial Unicode MS"/>
                <w:sz w:val="24"/>
                <w:szCs w:val="24"/>
              </w:rPr>
              <w:t>Performnace</w:t>
            </w:r>
            <w:proofErr w:type="spellEnd"/>
            <w:r w:rsidRPr="007B176D">
              <w:rPr>
                <w:rFonts w:ascii="Book Antiqua" w:eastAsia="Arial Unicode MS" w:hAnsi="Book Antiqua" w:cs="Arial Unicode MS"/>
                <w:sz w:val="24"/>
                <w:szCs w:val="24"/>
              </w:rPr>
              <w:t xml:space="preserve"> Bank Guarantee on entire contract price as per the clause 9.3.1.</w:t>
            </w:r>
          </w:p>
          <w:p w:rsidR="00FD4C1E" w:rsidRPr="007B176D" w:rsidRDefault="00FD4C1E" w:rsidP="00FD4C1E">
            <w:pPr>
              <w:jc w:val="both"/>
              <w:rPr>
                <w:rFonts w:ascii="Book Antiqua" w:eastAsia="Arial Unicode MS" w:hAnsi="Book Antiqua" w:cs="Arial Unicode MS"/>
                <w:sz w:val="24"/>
                <w:szCs w:val="24"/>
              </w:rPr>
            </w:pPr>
            <w:r w:rsidRPr="007B176D">
              <w:rPr>
                <w:rFonts w:ascii="Book Antiqua" w:eastAsia="Arial Unicode MS" w:hAnsi="Book Antiqua" w:cs="Arial Unicode MS"/>
                <w:sz w:val="24"/>
                <w:szCs w:val="24"/>
              </w:rPr>
              <w:t xml:space="preserve">In this regard, and as per our </w:t>
            </w:r>
            <w:proofErr w:type="spellStart"/>
            <w:r w:rsidRPr="007B176D">
              <w:rPr>
                <w:rFonts w:ascii="Book Antiqua" w:eastAsia="Arial Unicode MS" w:hAnsi="Book Antiqua" w:cs="Arial Unicode MS"/>
                <w:sz w:val="24"/>
                <w:szCs w:val="24"/>
              </w:rPr>
              <w:t>pervious</w:t>
            </w:r>
            <w:proofErr w:type="spellEnd"/>
            <w:r w:rsidRPr="007B176D">
              <w:rPr>
                <w:rFonts w:ascii="Book Antiqua" w:eastAsia="Arial Unicode MS" w:hAnsi="Book Antiqua" w:cs="Arial Unicode MS"/>
                <w:sz w:val="24"/>
                <w:szCs w:val="24"/>
              </w:rPr>
              <w:t xml:space="preserve"> experience with PGCIL, we request you to kindly accept following for us to proceed on this opportunity:</w:t>
            </w:r>
          </w:p>
          <w:p w:rsidR="00FD4C1E" w:rsidRPr="007B176D" w:rsidRDefault="00FD4C1E" w:rsidP="00FD4C1E">
            <w:pPr>
              <w:numPr>
                <w:ilvl w:val="0"/>
                <w:numId w:val="5"/>
              </w:numPr>
              <w:jc w:val="both"/>
              <w:rPr>
                <w:rFonts w:ascii="Book Antiqua" w:eastAsia="Arial Unicode MS" w:hAnsi="Book Antiqua" w:cs="Arial Unicode MS"/>
                <w:sz w:val="24"/>
                <w:szCs w:val="24"/>
              </w:rPr>
            </w:pPr>
            <w:r w:rsidRPr="007B176D">
              <w:rPr>
                <w:rFonts w:ascii="Book Antiqua" w:eastAsia="Arial Unicode MS" w:hAnsi="Book Antiqua" w:cs="Arial Unicode MS"/>
                <w:sz w:val="24"/>
                <w:szCs w:val="24"/>
              </w:rPr>
              <w:t xml:space="preserve">Bidder has to establish performance security independently for each sub-station location under this </w:t>
            </w:r>
            <w:r w:rsidRPr="007B176D">
              <w:rPr>
                <w:rFonts w:ascii="Book Antiqua" w:eastAsia="Arial Unicode MS" w:hAnsi="Book Antiqua" w:cs="Arial Unicode MS"/>
                <w:sz w:val="24"/>
                <w:szCs w:val="24"/>
              </w:rPr>
              <w:lastRenderedPageBreak/>
              <w:t>contract.</w:t>
            </w:r>
          </w:p>
          <w:p w:rsidR="008C66B5" w:rsidRPr="007B176D" w:rsidRDefault="00FD4C1E" w:rsidP="00FD4C1E">
            <w:pPr>
              <w:jc w:val="both"/>
              <w:rPr>
                <w:rFonts w:ascii="Book Antiqua" w:eastAsia="Arial Unicode MS" w:hAnsi="Book Antiqua" w:cs="Arial Unicode MS"/>
                <w:sz w:val="24"/>
                <w:szCs w:val="24"/>
              </w:rPr>
            </w:pPr>
            <w:r w:rsidRPr="007B176D">
              <w:rPr>
                <w:rFonts w:ascii="Book Antiqua" w:eastAsia="Arial Unicode MS" w:hAnsi="Book Antiqua" w:cs="Arial Unicode MS"/>
                <w:sz w:val="24"/>
                <w:szCs w:val="24"/>
              </w:rPr>
              <w:t>Performance Security for undelivered/unexecuted portion site/sub-station shall be extended by the contractor time to time till ninety (90) days beyond the actual Defect Liability Period.</w:t>
            </w:r>
          </w:p>
        </w:tc>
        <w:tc>
          <w:tcPr>
            <w:tcW w:w="2171" w:type="dxa"/>
            <w:shd w:val="clear" w:color="auto" w:fill="auto"/>
          </w:tcPr>
          <w:p w:rsidR="008C66B5" w:rsidRPr="007B176D" w:rsidRDefault="00C146F4" w:rsidP="00D96DC4">
            <w:pPr>
              <w:spacing w:after="0" w:line="240" w:lineRule="auto"/>
              <w:jc w:val="both"/>
              <w:rPr>
                <w:rFonts w:ascii="Book Antiqua" w:eastAsia="Times New Roman" w:hAnsi="Book Antiqua" w:cs="Calibri"/>
                <w:color w:val="000000"/>
                <w:sz w:val="24"/>
                <w:szCs w:val="24"/>
              </w:rPr>
            </w:pPr>
            <w:r w:rsidRPr="007B176D">
              <w:rPr>
                <w:rFonts w:ascii="Book Antiqua" w:eastAsia="Times New Roman" w:hAnsi="Book Antiqua" w:cs="Calibri"/>
                <w:color w:val="000000"/>
                <w:sz w:val="24"/>
                <w:szCs w:val="24"/>
              </w:rPr>
              <w:lastRenderedPageBreak/>
              <w:t>Existing Provision of bidding document shall prevail.</w:t>
            </w:r>
          </w:p>
        </w:tc>
      </w:tr>
    </w:tbl>
    <w:p w:rsidR="00575171" w:rsidRPr="00EE2370" w:rsidRDefault="00575171" w:rsidP="0028158C">
      <w:pPr>
        <w:spacing w:after="0"/>
        <w:jc w:val="both"/>
        <w:rPr>
          <w:rFonts w:ascii="Book Antiqua" w:hAnsi="Book Antiqua"/>
          <w:sz w:val="24"/>
          <w:szCs w:val="24"/>
        </w:rPr>
      </w:pPr>
    </w:p>
    <w:sectPr w:rsidR="00575171" w:rsidRPr="00EE2370" w:rsidSect="00E06096">
      <w:headerReference w:type="default" r:id="rId7"/>
      <w:footerReference w:type="default" r:id="rId8"/>
      <w:pgSz w:w="16838" w:h="11906" w:orient="landscape"/>
      <w:pgMar w:top="1440" w:right="1440" w:bottom="1440" w:left="1440" w:header="720" w:footer="31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7644" w:rsidRDefault="00857644" w:rsidP="00344B7B">
      <w:pPr>
        <w:spacing w:after="0" w:line="240" w:lineRule="auto"/>
      </w:pPr>
      <w:r>
        <w:separator/>
      </w:r>
    </w:p>
  </w:endnote>
  <w:endnote w:type="continuationSeparator" w:id="0">
    <w:p w:rsidR="00857644" w:rsidRDefault="00857644"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rsidR="00A559DD" w:rsidRDefault="00A559D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385716">
              <w:rPr>
                <w:b/>
                <w:bCs/>
                <w:noProof/>
              </w:rPr>
              <w:t>21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85716">
              <w:rPr>
                <w:b/>
                <w:bCs/>
                <w:noProof/>
              </w:rPr>
              <w:t>21</w:t>
            </w:r>
            <w:r>
              <w:rPr>
                <w:b/>
                <w:bCs/>
                <w:sz w:val="24"/>
                <w:szCs w:val="24"/>
              </w:rPr>
              <w:fldChar w:fldCharType="end"/>
            </w:r>
          </w:p>
        </w:sdtContent>
      </w:sdt>
    </w:sdtContent>
  </w:sdt>
  <w:p w:rsidR="003371F6" w:rsidRDefault="00337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7644" w:rsidRDefault="00857644" w:rsidP="00344B7B">
      <w:pPr>
        <w:spacing w:after="0" w:line="240" w:lineRule="auto"/>
      </w:pPr>
      <w:r>
        <w:separator/>
      </w:r>
    </w:p>
  </w:footnote>
  <w:footnote w:type="continuationSeparator" w:id="0">
    <w:p w:rsidR="00857644" w:rsidRDefault="00857644"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6C9" w:rsidRDefault="007E6DC9" w:rsidP="001D26C9">
    <w:pPr>
      <w:pStyle w:val="Header"/>
      <w:pBdr>
        <w:bottom w:val="single" w:sz="6" w:space="1" w:color="auto"/>
      </w:pBdr>
      <w:jc w:val="both"/>
      <w:rPr>
        <w:rFonts w:ascii="Book Antiqua" w:hAnsi="Book Antiqua"/>
        <w:sz w:val="23"/>
        <w:szCs w:val="23"/>
        <w:lang w:eastAsia="en-IN"/>
      </w:rPr>
    </w:pPr>
    <w:r w:rsidRPr="007E6DC9">
      <w:rPr>
        <w:rFonts w:ascii="Book Antiqua" w:hAnsi="Book Antiqua" w:cs="Mangal"/>
        <w:b/>
        <w:i/>
        <w:iCs/>
        <w:sz w:val="24"/>
        <w:szCs w:val="24"/>
      </w:rPr>
      <w:t>Clarification-II</w:t>
    </w:r>
    <w:r>
      <w:rPr>
        <w:rFonts w:ascii="Book Antiqua" w:hAnsi="Book Antiqua" w:cs="Mangal"/>
        <w:b/>
        <w:i/>
        <w:iCs/>
        <w:sz w:val="24"/>
        <w:szCs w:val="24"/>
      </w:rPr>
      <w:t>I</w:t>
    </w:r>
    <w:r w:rsidRPr="007E6DC9">
      <w:rPr>
        <w:rFonts w:ascii="Book Antiqua" w:hAnsi="Book Antiqua" w:cs="Mangal"/>
        <w:b/>
        <w:i/>
        <w:iCs/>
        <w:sz w:val="24"/>
        <w:szCs w:val="24"/>
      </w:rPr>
      <w:t xml:space="preserve"> </w:t>
    </w:r>
    <w:r w:rsidR="00F92118">
      <w:rPr>
        <w:rFonts w:ascii="Book Antiqua" w:hAnsi="Book Antiqua" w:cs="Mangal"/>
        <w:b/>
        <w:i/>
        <w:iCs/>
        <w:sz w:val="24"/>
        <w:szCs w:val="24"/>
      </w:rPr>
      <w:t xml:space="preserve">(Commercial) </w:t>
    </w:r>
    <w:r w:rsidRPr="007E6DC9">
      <w:rPr>
        <w:rFonts w:ascii="Book Antiqua" w:hAnsi="Book Antiqua" w:cs="Mangal"/>
        <w:bCs/>
        <w:i/>
        <w:iCs/>
        <w:sz w:val="24"/>
        <w:szCs w:val="24"/>
      </w:rPr>
      <w:t>to Bidding Documents</w:t>
    </w:r>
    <w:r w:rsidRPr="007E6DC9">
      <w:rPr>
        <w:rFonts w:ascii="Book Antiqua" w:hAnsi="Book Antiqua" w:cs="Mangal"/>
        <w:b/>
        <w:i/>
        <w:iCs/>
        <w:sz w:val="24"/>
        <w:szCs w:val="24"/>
      </w:rPr>
      <w:t xml:space="preserve"> </w:t>
    </w:r>
    <w:r w:rsidRPr="007E6DC9">
      <w:rPr>
        <w:rFonts w:ascii="Book Antiqua" w:hAnsi="Book Antiqua" w:cs="Mangal"/>
        <w:bCs/>
        <w:i/>
        <w:iCs/>
        <w:sz w:val="24"/>
        <w:szCs w:val="24"/>
      </w:rPr>
      <w:t xml:space="preserve">for </w:t>
    </w:r>
    <w:r w:rsidRPr="007E6DC9">
      <w:rPr>
        <w:rFonts w:ascii="Book Antiqua" w:hAnsi="Book Antiqua"/>
        <w:i/>
        <w:iCs/>
        <w:sz w:val="24"/>
        <w:szCs w:val="24"/>
        <w:lang w:eastAsia="en-IN"/>
      </w:rPr>
      <w:t xml:space="preserve">Transformer Package TR34 for a) Supply of 1X 500MVA, 420/220/33kV Auto transformer at </w:t>
    </w:r>
    <w:proofErr w:type="spellStart"/>
    <w:r w:rsidRPr="007E6DC9">
      <w:rPr>
        <w:rFonts w:ascii="Book Antiqua" w:hAnsi="Book Antiqua"/>
        <w:i/>
        <w:iCs/>
        <w:sz w:val="24"/>
        <w:szCs w:val="24"/>
        <w:lang w:eastAsia="en-IN"/>
      </w:rPr>
      <w:t>Bhadla</w:t>
    </w:r>
    <w:proofErr w:type="spellEnd"/>
    <w:r w:rsidRPr="007E6DC9">
      <w:rPr>
        <w:rFonts w:ascii="Book Antiqua" w:hAnsi="Book Antiqua"/>
        <w:i/>
        <w:iCs/>
        <w:sz w:val="24"/>
        <w:szCs w:val="24"/>
        <w:lang w:eastAsia="en-IN"/>
      </w:rPr>
      <w:t xml:space="preserve"> pooling S/S including associated bays, b) Supply of 1X 500MVA, 420/220/33kV Auto transformer at </w:t>
    </w:r>
    <w:proofErr w:type="spellStart"/>
    <w:r w:rsidRPr="007E6DC9">
      <w:rPr>
        <w:rFonts w:ascii="Book Antiqua" w:hAnsi="Book Antiqua"/>
        <w:i/>
        <w:iCs/>
        <w:sz w:val="24"/>
        <w:szCs w:val="24"/>
        <w:lang w:eastAsia="en-IN"/>
      </w:rPr>
      <w:t>Shujalpur</w:t>
    </w:r>
    <w:proofErr w:type="spellEnd"/>
    <w:r w:rsidRPr="007E6DC9">
      <w:rPr>
        <w:rFonts w:ascii="Book Antiqua" w:hAnsi="Book Antiqua"/>
        <w:i/>
        <w:iCs/>
        <w:sz w:val="24"/>
        <w:szCs w:val="24"/>
        <w:lang w:eastAsia="en-IN"/>
      </w:rPr>
      <w:t xml:space="preserve">  S/s including associated bays, c) Extension of 220kV </w:t>
    </w:r>
    <w:proofErr w:type="spellStart"/>
    <w:r w:rsidRPr="007E6DC9">
      <w:rPr>
        <w:rFonts w:ascii="Book Antiqua" w:hAnsi="Book Antiqua"/>
        <w:i/>
        <w:iCs/>
        <w:sz w:val="24"/>
        <w:szCs w:val="24"/>
        <w:lang w:eastAsia="en-IN"/>
      </w:rPr>
      <w:t>Shajhanpur</w:t>
    </w:r>
    <w:proofErr w:type="spellEnd"/>
    <w:r w:rsidRPr="007E6DC9">
      <w:rPr>
        <w:rFonts w:ascii="Book Antiqua" w:hAnsi="Book Antiqua"/>
        <w:i/>
        <w:iCs/>
        <w:sz w:val="24"/>
        <w:szCs w:val="24"/>
        <w:lang w:eastAsia="en-IN"/>
      </w:rPr>
      <w:t xml:space="preserve"> S/S, d) Implementation of 1X 80 MVAR , 765kV Spare Reactor at </w:t>
    </w:r>
    <w:proofErr w:type="spellStart"/>
    <w:r w:rsidRPr="007E6DC9">
      <w:rPr>
        <w:rFonts w:ascii="Book Antiqua" w:hAnsi="Book Antiqua"/>
        <w:i/>
        <w:iCs/>
        <w:sz w:val="24"/>
        <w:szCs w:val="24"/>
        <w:lang w:eastAsia="en-IN"/>
      </w:rPr>
      <w:t>Bhadla</w:t>
    </w:r>
    <w:proofErr w:type="spellEnd"/>
    <w:r w:rsidRPr="007E6DC9">
      <w:rPr>
        <w:rFonts w:ascii="Book Antiqua" w:hAnsi="Book Antiqua"/>
        <w:i/>
        <w:iCs/>
        <w:sz w:val="24"/>
        <w:szCs w:val="24"/>
        <w:lang w:eastAsia="en-IN"/>
      </w:rPr>
      <w:t xml:space="preserve"> S/S, e) Supply of 1X 500MVA, 420/220/33kV Auto transformer at </w:t>
    </w:r>
    <w:proofErr w:type="spellStart"/>
    <w:r w:rsidRPr="007E6DC9">
      <w:rPr>
        <w:rFonts w:ascii="Book Antiqua" w:hAnsi="Book Antiqua"/>
        <w:i/>
        <w:iCs/>
        <w:sz w:val="24"/>
        <w:szCs w:val="24"/>
        <w:lang w:eastAsia="en-IN"/>
      </w:rPr>
      <w:t>Kohchi</w:t>
    </w:r>
    <w:proofErr w:type="spellEnd"/>
    <w:r w:rsidRPr="007E6DC9">
      <w:rPr>
        <w:rFonts w:ascii="Book Antiqua" w:hAnsi="Book Antiqua"/>
        <w:i/>
        <w:iCs/>
        <w:sz w:val="24"/>
        <w:szCs w:val="24"/>
        <w:lang w:eastAsia="en-IN"/>
      </w:rPr>
      <w:t xml:space="preserve">  S/S, f) Supply of 1X 500MVA, 420/220/33kV Auto transformer at </w:t>
    </w:r>
    <w:proofErr w:type="spellStart"/>
    <w:r w:rsidRPr="007E6DC9">
      <w:rPr>
        <w:rFonts w:ascii="Book Antiqua" w:hAnsi="Book Antiqua"/>
        <w:i/>
        <w:iCs/>
        <w:sz w:val="24"/>
        <w:szCs w:val="24"/>
        <w:lang w:eastAsia="en-IN"/>
      </w:rPr>
      <w:t>Hiriyur</w:t>
    </w:r>
    <w:proofErr w:type="spellEnd"/>
    <w:r w:rsidRPr="007E6DC9">
      <w:rPr>
        <w:rFonts w:ascii="Book Antiqua" w:hAnsi="Book Antiqua"/>
        <w:i/>
        <w:iCs/>
        <w:sz w:val="24"/>
        <w:szCs w:val="24"/>
        <w:lang w:eastAsia="en-IN"/>
      </w:rPr>
      <w:t xml:space="preserve"> S/S associated with New ISTS Schemes to be developed under RTM mode</w:t>
    </w:r>
    <w:r>
      <w:rPr>
        <w:rFonts w:ascii="Book Antiqua" w:hAnsi="Book Antiqua"/>
        <w:i/>
        <w:iCs/>
        <w:sz w:val="24"/>
        <w:szCs w:val="24"/>
        <w:lang w:eastAsia="en-IN"/>
      </w:rPr>
      <w:t xml:space="preserve">; Spec. No.: </w:t>
    </w:r>
    <w:r w:rsidRPr="00DE0186">
      <w:rPr>
        <w:rFonts w:ascii="Book Antiqua" w:hAnsi="Book Antiqua"/>
        <w:sz w:val="23"/>
        <w:szCs w:val="23"/>
        <w:lang w:eastAsia="en-IN"/>
      </w:rPr>
      <w:t>5002001872/TRANSFORMER/DOM/A03-CC CS-4</w:t>
    </w:r>
  </w:p>
  <w:p w:rsidR="007E6DC9" w:rsidRPr="007E6DC9" w:rsidRDefault="007E6DC9" w:rsidP="001D26C9">
    <w:pPr>
      <w:pStyle w:val="Header"/>
      <w:jc w:val="both"/>
      <w:rPr>
        <w:i/>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46E15B01"/>
    <w:multiLevelType w:val="hybridMultilevel"/>
    <w:tmpl w:val="FE9EA18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01233EE"/>
    <w:multiLevelType w:val="hybridMultilevel"/>
    <w:tmpl w:val="ACDAD86C"/>
    <w:lvl w:ilvl="0" w:tplc="84DA0D12">
      <w:start w:val="1"/>
      <w:numFmt w:val="upperLetter"/>
      <w:lvlText w:val="%1."/>
      <w:lvlJc w:val="left"/>
      <w:pPr>
        <w:ind w:left="705" w:hanging="615"/>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0C06"/>
    <w:rsid w:val="000118ED"/>
    <w:rsid w:val="00012FF4"/>
    <w:rsid w:val="00017CAC"/>
    <w:rsid w:val="00026478"/>
    <w:rsid w:val="000303F6"/>
    <w:rsid w:val="00031B6A"/>
    <w:rsid w:val="00044C2E"/>
    <w:rsid w:val="00053894"/>
    <w:rsid w:val="000611CB"/>
    <w:rsid w:val="00061B81"/>
    <w:rsid w:val="00067CBB"/>
    <w:rsid w:val="00091F44"/>
    <w:rsid w:val="00092542"/>
    <w:rsid w:val="00093DB1"/>
    <w:rsid w:val="000B712B"/>
    <w:rsid w:val="000D420D"/>
    <w:rsid w:val="000E14CF"/>
    <w:rsid w:val="000E5ACE"/>
    <w:rsid w:val="000E7FD0"/>
    <w:rsid w:val="001017B7"/>
    <w:rsid w:val="00104C5C"/>
    <w:rsid w:val="001126AD"/>
    <w:rsid w:val="0011470C"/>
    <w:rsid w:val="00126186"/>
    <w:rsid w:val="001372F1"/>
    <w:rsid w:val="00142500"/>
    <w:rsid w:val="00156DEB"/>
    <w:rsid w:val="0016149D"/>
    <w:rsid w:val="0018216D"/>
    <w:rsid w:val="001859EE"/>
    <w:rsid w:val="001A5B47"/>
    <w:rsid w:val="001B06B6"/>
    <w:rsid w:val="001D26C9"/>
    <w:rsid w:val="001D5890"/>
    <w:rsid w:val="001F4AF7"/>
    <w:rsid w:val="00211995"/>
    <w:rsid w:val="002144C4"/>
    <w:rsid w:val="00215201"/>
    <w:rsid w:val="0022257B"/>
    <w:rsid w:val="00226DC7"/>
    <w:rsid w:val="00233899"/>
    <w:rsid w:val="00255231"/>
    <w:rsid w:val="00272DDF"/>
    <w:rsid w:val="00274B98"/>
    <w:rsid w:val="0028158C"/>
    <w:rsid w:val="00291086"/>
    <w:rsid w:val="00291E8E"/>
    <w:rsid w:val="00293BBD"/>
    <w:rsid w:val="002A4E47"/>
    <w:rsid w:val="002B18D4"/>
    <w:rsid w:val="002B78E9"/>
    <w:rsid w:val="002C0C79"/>
    <w:rsid w:val="002C6F63"/>
    <w:rsid w:val="002E2338"/>
    <w:rsid w:val="002F0520"/>
    <w:rsid w:val="002F7898"/>
    <w:rsid w:val="00312EE2"/>
    <w:rsid w:val="00332AC7"/>
    <w:rsid w:val="00335AEC"/>
    <w:rsid w:val="003371F6"/>
    <w:rsid w:val="00344B7B"/>
    <w:rsid w:val="00352077"/>
    <w:rsid w:val="003616AA"/>
    <w:rsid w:val="003845B9"/>
    <w:rsid w:val="00385716"/>
    <w:rsid w:val="003937AE"/>
    <w:rsid w:val="003B390E"/>
    <w:rsid w:val="003B3C8F"/>
    <w:rsid w:val="003D768B"/>
    <w:rsid w:val="003F27D1"/>
    <w:rsid w:val="003F2E26"/>
    <w:rsid w:val="004006FE"/>
    <w:rsid w:val="00411206"/>
    <w:rsid w:val="00422E41"/>
    <w:rsid w:val="00452C7E"/>
    <w:rsid w:val="0045621F"/>
    <w:rsid w:val="00481EBF"/>
    <w:rsid w:val="00483310"/>
    <w:rsid w:val="00484D62"/>
    <w:rsid w:val="004879D3"/>
    <w:rsid w:val="0049252B"/>
    <w:rsid w:val="00497550"/>
    <w:rsid w:val="004A0E00"/>
    <w:rsid w:val="004B178A"/>
    <w:rsid w:val="004B2694"/>
    <w:rsid w:val="004B7965"/>
    <w:rsid w:val="004C225B"/>
    <w:rsid w:val="004C2622"/>
    <w:rsid w:val="004C2793"/>
    <w:rsid w:val="004C2FE9"/>
    <w:rsid w:val="004E1415"/>
    <w:rsid w:val="004E6BA0"/>
    <w:rsid w:val="0050278B"/>
    <w:rsid w:val="00504D53"/>
    <w:rsid w:val="0051144A"/>
    <w:rsid w:val="00517186"/>
    <w:rsid w:val="0052099C"/>
    <w:rsid w:val="00520C3B"/>
    <w:rsid w:val="00522DDB"/>
    <w:rsid w:val="0052351E"/>
    <w:rsid w:val="005272C1"/>
    <w:rsid w:val="00531F93"/>
    <w:rsid w:val="00533D85"/>
    <w:rsid w:val="00550828"/>
    <w:rsid w:val="00550FFC"/>
    <w:rsid w:val="00551F17"/>
    <w:rsid w:val="005632D5"/>
    <w:rsid w:val="00567AB4"/>
    <w:rsid w:val="00575171"/>
    <w:rsid w:val="00581E60"/>
    <w:rsid w:val="0058435D"/>
    <w:rsid w:val="005908CB"/>
    <w:rsid w:val="0059416F"/>
    <w:rsid w:val="00597F20"/>
    <w:rsid w:val="005B4529"/>
    <w:rsid w:val="005C3774"/>
    <w:rsid w:val="005C3D10"/>
    <w:rsid w:val="005C7146"/>
    <w:rsid w:val="005C751B"/>
    <w:rsid w:val="005D019F"/>
    <w:rsid w:val="005E3B51"/>
    <w:rsid w:val="005E4668"/>
    <w:rsid w:val="00600662"/>
    <w:rsid w:val="006078CE"/>
    <w:rsid w:val="006124BC"/>
    <w:rsid w:val="00623FD8"/>
    <w:rsid w:val="00633A8F"/>
    <w:rsid w:val="00633C63"/>
    <w:rsid w:val="0063547C"/>
    <w:rsid w:val="00652B96"/>
    <w:rsid w:val="00670934"/>
    <w:rsid w:val="00674E95"/>
    <w:rsid w:val="00692E5B"/>
    <w:rsid w:val="006C7A86"/>
    <w:rsid w:val="006D7A13"/>
    <w:rsid w:val="006E25F5"/>
    <w:rsid w:val="00701491"/>
    <w:rsid w:val="00704288"/>
    <w:rsid w:val="007138CB"/>
    <w:rsid w:val="00735F2F"/>
    <w:rsid w:val="00735F4C"/>
    <w:rsid w:val="007369B1"/>
    <w:rsid w:val="00760343"/>
    <w:rsid w:val="00761707"/>
    <w:rsid w:val="00764AC3"/>
    <w:rsid w:val="00764C46"/>
    <w:rsid w:val="00764FF6"/>
    <w:rsid w:val="0077296D"/>
    <w:rsid w:val="0078689F"/>
    <w:rsid w:val="00791A78"/>
    <w:rsid w:val="007B176D"/>
    <w:rsid w:val="007B3F52"/>
    <w:rsid w:val="007B5D04"/>
    <w:rsid w:val="007B7ED0"/>
    <w:rsid w:val="007D0FB4"/>
    <w:rsid w:val="007E2A20"/>
    <w:rsid w:val="007E6DC9"/>
    <w:rsid w:val="007F3825"/>
    <w:rsid w:val="00801478"/>
    <w:rsid w:val="008101DE"/>
    <w:rsid w:val="008140CB"/>
    <w:rsid w:val="00827A4D"/>
    <w:rsid w:val="008355BF"/>
    <w:rsid w:val="008370AF"/>
    <w:rsid w:val="008406C1"/>
    <w:rsid w:val="00845AB2"/>
    <w:rsid w:val="00845CB2"/>
    <w:rsid w:val="00850E86"/>
    <w:rsid w:val="00857644"/>
    <w:rsid w:val="008606D1"/>
    <w:rsid w:val="0087437A"/>
    <w:rsid w:val="00882431"/>
    <w:rsid w:val="00887FC2"/>
    <w:rsid w:val="00897D3C"/>
    <w:rsid w:val="008A1D50"/>
    <w:rsid w:val="008A6A2D"/>
    <w:rsid w:val="008B50D7"/>
    <w:rsid w:val="008C6485"/>
    <w:rsid w:val="008C66B5"/>
    <w:rsid w:val="008D3F44"/>
    <w:rsid w:val="008D5C77"/>
    <w:rsid w:val="008E1660"/>
    <w:rsid w:val="008E6EDB"/>
    <w:rsid w:val="00900912"/>
    <w:rsid w:val="00905BE3"/>
    <w:rsid w:val="00914FCD"/>
    <w:rsid w:val="00935ACE"/>
    <w:rsid w:val="00942218"/>
    <w:rsid w:val="00942BD0"/>
    <w:rsid w:val="00944A7C"/>
    <w:rsid w:val="00950A03"/>
    <w:rsid w:val="00951A7F"/>
    <w:rsid w:val="00961A90"/>
    <w:rsid w:val="00971283"/>
    <w:rsid w:val="00983C8F"/>
    <w:rsid w:val="00996148"/>
    <w:rsid w:val="009A0F9F"/>
    <w:rsid w:val="009A0FFD"/>
    <w:rsid w:val="009A1A4B"/>
    <w:rsid w:val="009A74FC"/>
    <w:rsid w:val="009B0C03"/>
    <w:rsid w:val="009B6583"/>
    <w:rsid w:val="009D18C7"/>
    <w:rsid w:val="009D7F3E"/>
    <w:rsid w:val="009E37F4"/>
    <w:rsid w:val="009E4B1B"/>
    <w:rsid w:val="009F0199"/>
    <w:rsid w:val="009F5907"/>
    <w:rsid w:val="00A01616"/>
    <w:rsid w:val="00A06A24"/>
    <w:rsid w:val="00A10C06"/>
    <w:rsid w:val="00A12A42"/>
    <w:rsid w:val="00A210E3"/>
    <w:rsid w:val="00A2782B"/>
    <w:rsid w:val="00A36B7D"/>
    <w:rsid w:val="00A44AE2"/>
    <w:rsid w:val="00A559DD"/>
    <w:rsid w:val="00A61587"/>
    <w:rsid w:val="00A61A92"/>
    <w:rsid w:val="00A64C96"/>
    <w:rsid w:val="00A66938"/>
    <w:rsid w:val="00A811B5"/>
    <w:rsid w:val="00A8445B"/>
    <w:rsid w:val="00A84A33"/>
    <w:rsid w:val="00AB00EE"/>
    <w:rsid w:val="00AC1017"/>
    <w:rsid w:val="00AC1CC6"/>
    <w:rsid w:val="00AD481F"/>
    <w:rsid w:val="00AE6DB4"/>
    <w:rsid w:val="00AE782D"/>
    <w:rsid w:val="00B00C5F"/>
    <w:rsid w:val="00B10C52"/>
    <w:rsid w:val="00B113EC"/>
    <w:rsid w:val="00B16A78"/>
    <w:rsid w:val="00B215FE"/>
    <w:rsid w:val="00B272BA"/>
    <w:rsid w:val="00B367E3"/>
    <w:rsid w:val="00B572B7"/>
    <w:rsid w:val="00B64FD7"/>
    <w:rsid w:val="00B65664"/>
    <w:rsid w:val="00B70D51"/>
    <w:rsid w:val="00B809F9"/>
    <w:rsid w:val="00B9269B"/>
    <w:rsid w:val="00BA20E3"/>
    <w:rsid w:val="00BB5C6A"/>
    <w:rsid w:val="00BD742C"/>
    <w:rsid w:val="00BE5E1E"/>
    <w:rsid w:val="00BE6362"/>
    <w:rsid w:val="00BF7231"/>
    <w:rsid w:val="00C1055B"/>
    <w:rsid w:val="00C123FD"/>
    <w:rsid w:val="00C146F4"/>
    <w:rsid w:val="00C20F99"/>
    <w:rsid w:val="00C40942"/>
    <w:rsid w:val="00C41629"/>
    <w:rsid w:val="00C442B3"/>
    <w:rsid w:val="00C568DD"/>
    <w:rsid w:val="00C57032"/>
    <w:rsid w:val="00C61CCD"/>
    <w:rsid w:val="00C650F1"/>
    <w:rsid w:val="00C66F20"/>
    <w:rsid w:val="00C70268"/>
    <w:rsid w:val="00C748C8"/>
    <w:rsid w:val="00C82387"/>
    <w:rsid w:val="00C847D7"/>
    <w:rsid w:val="00C90236"/>
    <w:rsid w:val="00C9052D"/>
    <w:rsid w:val="00C90B82"/>
    <w:rsid w:val="00CA4273"/>
    <w:rsid w:val="00CA5601"/>
    <w:rsid w:val="00CA61F4"/>
    <w:rsid w:val="00CB49C8"/>
    <w:rsid w:val="00CC3D0E"/>
    <w:rsid w:val="00CC6147"/>
    <w:rsid w:val="00CD34C8"/>
    <w:rsid w:val="00CD36D9"/>
    <w:rsid w:val="00CD4FE6"/>
    <w:rsid w:val="00CE0ABC"/>
    <w:rsid w:val="00CE7464"/>
    <w:rsid w:val="00CF2B72"/>
    <w:rsid w:val="00D13EFC"/>
    <w:rsid w:val="00D14E2F"/>
    <w:rsid w:val="00D24DB8"/>
    <w:rsid w:val="00D54120"/>
    <w:rsid w:val="00D541C5"/>
    <w:rsid w:val="00D566BB"/>
    <w:rsid w:val="00D5754F"/>
    <w:rsid w:val="00D71A89"/>
    <w:rsid w:val="00D87D39"/>
    <w:rsid w:val="00DD29CD"/>
    <w:rsid w:val="00DD70FA"/>
    <w:rsid w:val="00DE1BD6"/>
    <w:rsid w:val="00DF2FEF"/>
    <w:rsid w:val="00DF33F2"/>
    <w:rsid w:val="00DF7BB4"/>
    <w:rsid w:val="00E06096"/>
    <w:rsid w:val="00E13D86"/>
    <w:rsid w:val="00E41BA7"/>
    <w:rsid w:val="00E4263E"/>
    <w:rsid w:val="00E44D20"/>
    <w:rsid w:val="00E607E5"/>
    <w:rsid w:val="00E72D25"/>
    <w:rsid w:val="00E74023"/>
    <w:rsid w:val="00E813B7"/>
    <w:rsid w:val="00EA5A41"/>
    <w:rsid w:val="00EB392D"/>
    <w:rsid w:val="00EC100C"/>
    <w:rsid w:val="00EC4B72"/>
    <w:rsid w:val="00ED3D49"/>
    <w:rsid w:val="00EE2370"/>
    <w:rsid w:val="00EE443E"/>
    <w:rsid w:val="00EE4F3B"/>
    <w:rsid w:val="00EE7764"/>
    <w:rsid w:val="00EF07D9"/>
    <w:rsid w:val="00EF75DD"/>
    <w:rsid w:val="00F150AA"/>
    <w:rsid w:val="00F16FEA"/>
    <w:rsid w:val="00F21B7B"/>
    <w:rsid w:val="00F24CDF"/>
    <w:rsid w:val="00F347D2"/>
    <w:rsid w:val="00F34DE5"/>
    <w:rsid w:val="00F3528D"/>
    <w:rsid w:val="00F44113"/>
    <w:rsid w:val="00F44D07"/>
    <w:rsid w:val="00F4546B"/>
    <w:rsid w:val="00F52F68"/>
    <w:rsid w:val="00F71277"/>
    <w:rsid w:val="00F92118"/>
    <w:rsid w:val="00FA54B9"/>
    <w:rsid w:val="00FB249B"/>
    <w:rsid w:val="00FB7D1A"/>
    <w:rsid w:val="00FC0DF8"/>
    <w:rsid w:val="00FC6F01"/>
    <w:rsid w:val="00FC72C0"/>
    <w:rsid w:val="00FD4C1E"/>
    <w:rsid w:val="00FD6C5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A73415"/>
  <w15:docId w15:val="{672F83C9-51D0-4C00-815D-D3116783E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uiPriority w:val="34"/>
    <w:qFormat/>
    <w:rsid w:val="00233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05205">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90448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2264</TotalTime>
  <Pages>1</Pages>
  <Words>627</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Venkatesh Karri {वेंकटेश कर्री}</dc:creator>
  <cp:lastModifiedBy>Naba Kumar Mondal {नब कुमार मंडल}</cp:lastModifiedBy>
  <cp:revision>301</cp:revision>
  <cp:lastPrinted>2019-06-11T05:55:00Z</cp:lastPrinted>
  <dcterms:created xsi:type="dcterms:W3CDTF">2018-07-03T09:15:00Z</dcterms:created>
  <dcterms:modified xsi:type="dcterms:W3CDTF">2021-11-10T04:38:00Z</dcterms:modified>
</cp:coreProperties>
</file>